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В настоящее время проблема изучения личностных предикторов успешности личности приобретает особую значимость в силу того, что человек стал рассматриваться как автор собственной жизни, создатель своего уникального жизненного пути. Через осуществление жизненных выборов человек «пишет» свой жизненный сценарий, в котором одновременно отражаются его личностные характеристики и характеристики той реальности, которая находится в его жизненном пространстве.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таких предикторов, способствующим формированию жизненной успешности человека может быть его самоэффективность, которая </w:t>
      </w:r>
      <w:r>
        <w:rPr>
          <w:rFonts w:ascii="Times New Roman" w:hAnsi="Times New Roman"/>
          <w:sz w:val="28"/>
          <w:szCs w:val="28"/>
          <w:shd w:fill="FFFFFF" w:val="clear"/>
        </w:rPr>
        <w:t>определяет его представления о своих возможностях, ожидания относительно своих результатов и отражает его жизненную философию.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Целью пилотажного исследования стало изучение представлений о жизненном успехе у молодых людей с разным уровнем самоэффективности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=93, 74 (80%) девушки и 19 (20%) юношей, возраст – от 18 до 24 лет, средний возраст – 20,9, σ=2,89).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представлений о жизненном успехе использовался опросник Д.А. Бухаленковой и О.А. Карабановой (2016) в авторской модификации. Самоэффективность молодых людей изучалась с помощью теста-опросника Дж. Маддукса и М. Шеера (</w:t>
      </w:r>
      <w:r>
        <w:rPr>
          <w:rFonts w:ascii="Times New Roman" w:hAnsi="Times New Roman"/>
          <w:bCs/>
          <w:sz w:val="28"/>
          <w:szCs w:val="28"/>
        </w:rPr>
        <w:t>модификация</w:t>
      </w:r>
      <w:r>
        <w:rPr>
          <w:rFonts w:ascii="Times New Roman" w:hAnsi="Times New Roman"/>
          <w:sz w:val="28"/>
          <w:szCs w:val="28"/>
        </w:rPr>
        <w:t xml:space="preserve"> А.В. Бояринцевой, 1995).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NewRomanPSMT" w:ascii="Times New Roman" w:hAnsi="Times New Roman"/>
          <w:sz w:val="28"/>
          <w:szCs w:val="28"/>
        </w:rPr>
        <w:t>Было выявлено,</w:t>
      </w:r>
      <w:r>
        <w:rPr>
          <w:rFonts w:ascii="Times New Roman" w:hAnsi="Times New Roman"/>
          <w:sz w:val="28"/>
          <w:szCs w:val="28"/>
        </w:rPr>
        <w:t xml:space="preserve"> что для молодых людей в целом жизненный успех связан с «</w:t>
      </w:r>
      <w:r>
        <w:rPr>
          <w:rFonts w:ascii="Times New Roman" w:hAnsi="Times New Roman"/>
          <w:bCs/>
          <w:sz w:val="28"/>
          <w:szCs w:val="28"/>
        </w:rPr>
        <w:t>достижением поставленных целей</w:t>
      </w:r>
      <w:r>
        <w:rPr>
          <w:rFonts w:ascii="Times New Roman" w:hAnsi="Times New Roman"/>
          <w:sz w:val="28"/>
          <w:szCs w:val="28"/>
        </w:rPr>
        <w:t>» (75%), «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удовлетворением от результата проделанной работы» (71%), «чувством заслуженного счастья» (64%), «возможностью воплощать свои способности, умения и знания в результатах деятельности» (68%).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Style w:val="Strong"/>
          <w:rFonts w:ascii="Times New Roman" w:hAnsi="Times New Roman"/>
          <w:b w:val="false"/>
          <w:sz w:val="28"/>
          <w:szCs w:val="28"/>
        </w:rPr>
        <w:t>Результаты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сравнительного анализа показали, что респонденты с высоким уровнем самоэффективности связывают успех в жизни с </w:t>
      </w:r>
      <w:r>
        <w:rPr>
          <w:rFonts w:ascii="Times New Roman" w:hAnsi="Times New Roman"/>
          <w:sz w:val="28"/>
          <w:szCs w:val="28"/>
        </w:rPr>
        <w:t xml:space="preserve">самосовершенствованием и личностным ростом (71%), а также с преодолением препятствий и различных трудностей (68%), тогда как респонденты с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низким уровнем соотносят успех с достижением душевного равновесия, гармонией с самим собой (58%), с везением (24%) и популярностью в обществе, известностью (16%). Для респондентов с высоким уровнем самоэффективности эти параметры оказались не значимы или малозначимы.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На основании полученных результатов можно предположить, что молодые люди с высоким уровнем самоэффективности считают свои достижения и успехи результатом собственных усилий и собственной активности, что может указывать на интернальный локус контроля, ориентацию на внутриличностные факторы. Респонденты с низким уровнем самоэффективности склонны </w:t>
      </w:r>
      <w:r>
        <w:rPr>
          <w:rFonts w:ascii="Times New Roman" w:hAnsi="Times New Roman"/>
          <w:sz w:val="28"/>
          <w:szCs w:val="28"/>
        </w:rPr>
        <w:t xml:space="preserve">приписывать причины большинства жизненных событий, в том числе и успехов, факторам, независящим от личности. Можно предположить преобладание у них экстернального локуса контроля. В результате применения критерия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были установлены статистически значимые различия в представлениях о жизненном успехе у молодых людей с разным уровнем самоэффективности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≤0,05).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Таким образом, для молодых людей с высокой эффективностью представление об успехе включает в себя процесс преодоления препятствий, различных трудностей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, а для респондентов с низким уровнем –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везение, популярность в обществе и известность. Полученные результаты свидетельствуют о верности гипотезы о том, что самоэффективность, как компонент жизненной философии человека, отражающий его отношение к жизни и его жизненную позицию, может выступать одним из предикторов жизненной успешности че</w:t>
      </w:r>
      <w:bookmarkStart w:id="0" w:name="_GoBack"/>
      <w:bookmarkEnd w:id="0"/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ловека.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ada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uiPriority w:val="22"/>
    <w:qFormat/>
    <w:rsid w:val="00293ada"/>
    <w:rPr>
      <w:rFonts w:ascii="Times New Roman" w:hAnsi="Times New Roman" w:cs="Times New Roman"/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64c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 LibreOffice_project/4e471d8c02c9c90f512f7f9ead8875b57fcb1ec3</Application>
  <Pages>2</Pages>
  <Words>404</Words>
  <Characters>2837</Characters>
  <CharactersWithSpaces>3239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2020-10-13T19:33:00Z</dcterms:created>
  <dc:creator>Счастливый</dc:creator>
  <dc:description/>
  <dc:language>ru-RU</dc:language>
  <cp:lastModifiedBy/>
  <dcterms:modified xsi:type="dcterms:W3CDTF">2020-10-15T23:29:39Z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