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Пржигодзкая О.В., СПбГУ</w:t>
      </w:r>
    </w:p>
    <w:p>
      <w:pPr>
        <w:pStyle w:val="style0"/>
        <w:spacing w:lineRule="auto" w:line="360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Синезий Киренский речь «</w:t>
      </w:r>
      <w:r>
        <w:rPr>
          <w:b/>
          <w:sz w:val="28"/>
          <w:szCs w:val="28"/>
          <w:lang w:val="en-US"/>
        </w:rPr>
        <w:t>De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Regno</w:t>
      </w:r>
      <w:r>
        <w:rPr>
          <w:b/>
          <w:sz w:val="28"/>
          <w:szCs w:val="28"/>
        </w:rPr>
        <w:t xml:space="preserve">» в контексте истории Римской империи рубежа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вв.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Речь «О Царстве» предшествует по времени создания тракту «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Providentia</w:t>
      </w:r>
      <w:r>
        <w:rPr>
          <w:sz w:val="28"/>
          <w:szCs w:val="28"/>
        </w:rPr>
        <w:t>» и является первой в творчестве Синезия попыткой обратить внимание на угрозу, исходящую от  большого количества варварского элемента на территории Империи. Обстоятельства произнесения речи перед императором Аркадием в достаточной степени известны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Синезий принадлежал к сословию куриалов, поэтому ему приходилось выполнять обязанности, налагаемые этим званием,</w:t>
      </w:r>
      <w:r>
        <w:rPr>
          <w:rStyle w:val="style38"/>
          <w:sz w:val="28"/>
          <w:szCs w:val="28"/>
        </w:rPr>
        <w:footnoteReference w:id="1"/>
      </w:r>
      <w:r>
        <w:rPr>
          <w:sz w:val="28"/>
          <w:szCs w:val="28"/>
        </w:rPr>
        <w:t xml:space="preserve"> поэтому 399 г. Синезий был избран депутатом в Константинополь от городов Пентаполя с целью исходатайствовать облегчение от податей и защиту от варваров. В столице он пробыл три года, до 402 г. В  Константинополе  в 399-400 гг. сложилась сложная политическая ситуация. При дворе императора Аркадия боролись за влияние две политические группировки высшей знати-с одной стороны, чиновно-бюрократическая, целью которой было упрочить власть государственного аппарата и расширить сферу своего влияния. Её представители были склонны к компромиссу с готами и их предводителем Гайной. С другой стороны, существовала группировка, состоявшая из приверженцев более традиционных политических ценностей, преимущественно опиравшаяся на старую аристократию и антиварварски настроенная. В Константинополе Синезий установил связь с культурно-философским кружком, находившемся под покровительством Аврелиана и  других лидеров антиготской партии, во главе которого стояли софисты и философы Троил и  Анастасий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Став членом этого кружка, Синезий определил себя как сторонника  политической позиции Аврелиана. В этот кружок входил и префект претория Аврелиан.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Как полагал проф. М.В.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Левченко</w:t>
      </w:r>
      <w:r>
        <w:rPr>
          <w:rStyle w:val="style38"/>
          <w:sz w:val="28"/>
          <w:szCs w:val="28"/>
        </w:rPr>
        <w:footnoteReference w:id="2"/>
      </w:r>
      <w:r>
        <w:rPr>
          <w:sz w:val="28"/>
          <w:szCs w:val="28"/>
        </w:rPr>
        <w:t>, при содействии Аврелиана Синезий получил аудиенцию у императора Аркадия, чтобы изложить перед ним нужды родного города, на которой произнес  свою  знаменитую речь «О царстве». Это произошло во второй половине 399 г., до падения Аврелиана в конце 399 г. Г.Л.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Курбатов полагал, что именно тезисы, выдвинутые Синезием, служили залогом того, что при содействии Аврелиана речь будет выслушана императором. «То, что в значительной части пунктов речь Синезия была  созвучная более интересам и чаяниям группировки Аврелиана (в том числе и ее резко антиварварский настрой и критика ее противников), бесспорно, и это, возможно, сыграло свою роль в том, что Синезий получил возможность выступать с многочасовой речью перед императором. Но в ней многое отражало и собственные настроения Синезия. Истоки его отношения к варварской военной силе как ненадежной и грабительской оформились на практике его родной провинции».</w:t>
      </w:r>
      <w:r>
        <w:rPr>
          <w:rStyle w:val="style38"/>
          <w:sz w:val="28"/>
          <w:szCs w:val="28"/>
        </w:rPr>
        <w:footnoteReference w:id="3"/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Синезия  «О царстве» является сочинением, в котором нашли своё отражение идеи антигерманизма.  В литературной традиции  IV  века существовало представление, в целом характерное для античности, согласно которому варвары в представлении греков, а затем римлян были ниже их по уровню своего развития. Подобные представления сохранялись и, например,  Евсевий Памфил, автор «Жития блаженного василевса Константина», живший на рубеже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IV вв., следующим образом характеризовал варварские племена: «Он ( император Константин- О.П.)  в короткое время покорил всех: одних, которые возмутились, усмирил вооружённой рукой, других сделал кроткими посредством благоразумных посольств, вообще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не знавшую законов и звериную жизнь их переменил на жизнь регулярную и законную».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(Eus.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5)   Евсевий Памфил  следует традиции покровительственного отношения к иноземным народам и отказывает им в наличии какого- либо созидательного правового начала, поскольку обычаи традиционного общества, не обличённые в чёткие формулы римского права, не являлись для человека, воспитанного в античном обществе, выражением закона в строгом смысле этого слова. Римляне, включавшие варварские народы в сферу своего влияния, неизбежно оказывали влияние на отношения внутри этих племён и считали, что привносят в нерегулируемую, согласно их представлениям, жизнь  конструктивные элементы.    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Синезий в речи «О царстве» выразил позицию консервативно настроенных кругов восточной части Римской  империи и показал последствия и опасности, ожидающие государство в будущем в результате необдуманной политики предоставления варварам значительных полномочий. Советский исследователь М.В. Левченко характеризует ее «как смелую речь, выражавшую программу антигерманской, римской партии, речь, затронувшую самые больные вопросы современности».</w:t>
      </w:r>
      <w:r>
        <w:rPr>
          <w:rStyle w:val="style3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по-разному оценивали вероятность произнесения этой речи непосредственно перед  Аркадием  вследствие наличия в ней резкой критики политики как   правящего императора, так и его отца Феодосия I. 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Р. Фолькман</w:t>
      </w:r>
      <w:r>
        <w:rPr>
          <w:rStyle w:val="style38"/>
          <w:sz w:val="28"/>
          <w:szCs w:val="28"/>
        </w:rPr>
        <w:footnoteReference w:id="5"/>
      </w:r>
      <w:r>
        <w:rPr>
          <w:sz w:val="28"/>
          <w:szCs w:val="28"/>
        </w:rPr>
        <w:t xml:space="preserve">, историк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в., считал, «что речи была дана другая редакция перед тем, как предать её гласности».  Г. Грюнтмахер, Е. Штайн, К.Костер, К. Лакомбрад сходятся во мнении, что в речи представлена точка зрения не только самого Синезия, но и его покровителя в Константинополе </w:t>
      </w:r>
      <w:r>
        <w:rPr>
          <w:sz w:val="28"/>
          <w:szCs w:val="28"/>
        </w:rPr>
        <w:t>Аврелиана.</w:t>
      </w:r>
      <w:r>
        <w:rPr>
          <w:rStyle w:val="style38"/>
          <w:sz w:val="28"/>
          <w:szCs w:val="28"/>
        </w:rPr>
        <w:footnoteReference w:id="6"/>
      </w:r>
      <w:r>
        <w:rPr>
          <w:sz w:val="28"/>
          <w:szCs w:val="28"/>
        </w:rPr>
        <w:t xml:space="preserve"> Отечественные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учёные, например, М.В.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Левченко</w:t>
      </w:r>
      <w:r>
        <w:rPr>
          <w:rStyle w:val="style38"/>
          <w:sz w:val="28"/>
          <w:szCs w:val="28"/>
        </w:rPr>
        <w:footnoteReference w:id="7"/>
      </w:r>
      <w:r>
        <w:rPr>
          <w:sz w:val="28"/>
          <w:szCs w:val="28"/>
        </w:rPr>
        <w:t xml:space="preserve">,  полагают, что речь могла быть произнесена перед Аркадием в том виде, в каком она сохранилась до нашего времени, поскольку «оратор чувствовал себя не одиноким, если он ощущал за собой поддержку влиятельной и могущественной группировки, глашатаем которой он выступал в данном случае. Несомненно, что оратор из Кирены в своей речи являлся выразителем интересов сторонников Аврелиана».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Речь «О Царстве» можно разделить на три большие части: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№ 1-18 В первой части Синезий делает обширное вступление, в котором он объясняет причины, побудившие его говорить перед императором о проблемах, возникших в империи. «Ибо как острота и горечь соли препятствует разложению мяса, так и истина в речи оздоровляет дух юного императора.»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2) Далее оратор дает ряд практических советов относительно отношения императора с подданными, с друзьями, совершенствования его моральных качеств, внешнего облика и т.д.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Синезий считает своим долгом напомнить Аркадию о традиционных античных представлениях о власти и положении правителя, поскольку  считает «непристойным, чтобы римский государь нарушал отеческие установления, не вчера и третьего дня проникшие в государство»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 xml:space="preserve">, 15). Отступление от них выражается в приверженности иноземным традициям, и он призывает Аркадия «вернуть императорское достоинство к прежнему обычаю». (Syn.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 xml:space="preserve">,18). Можно согласиться с мнением К. Лакомбрада, который полагает, что основной целью Синезия было не только обратить внимание императора на опасность, исходящую от варваров, о которой речь пойдет ниже, а призвать Аркадия к уважению римских традиций, </w:t>
      </w:r>
      <w:r>
        <w:rPr>
          <w:sz w:val="28"/>
          <w:szCs w:val="28"/>
        </w:rPr>
        <w:t>а не заменять их варварскими обычаями, иначе это приведет к разрушению государства.</w:t>
      </w:r>
      <w:r>
        <w:rPr>
          <w:rStyle w:val="style38"/>
          <w:sz w:val="28"/>
          <w:szCs w:val="28"/>
        </w:rPr>
        <w:footnoteReference w:id="8"/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№19-21 Во второй части своей речи Синезий  указывает на опасность, которую представляют для  империи  варвары, находящиеся на её территории, и выдвигает программу действий по её ликвидации. Оратор предлагает «удалить варваров из всех учреждений»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,19), «запретить им доступ к высшим должностям» 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20) и т.д . Опасения Синезия, вызванные значительным количеством варваров в римской армии, были обоснованными. Синезий, без сомнения, знал о битве под Адрианополем и событиях, ей предшествовавших,  и именно  они могли побудить оратора включить  в свою речь призыв изгнать варваров</w:t>
      </w:r>
      <w:r>
        <w:rPr>
          <w:rStyle w:val="style38"/>
          <w:sz w:val="28"/>
          <w:szCs w:val="28"/>
        </w:rPr>
        <w:footnoteReference w:id="9"/>
      </w:r>
      <w:r>
        <w:rPr>
          <w:sz w:val="28"/>
          <w:szCs w:val="28"/>
        </w:rPr>
        <w:t xml:space="preserve">.  Синезий сообщает: «малейшего предлога достаточно, чтобы вооружённые пожелали стать </w:t>
      </w:r>
      <w:r>
        <w:rPr>
          <w:b/>
          <w:sz w:val="28"/>
          <w:szCs w:val="28"/>
        </w:rPr>
        <w:t>господами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δέσποταις</w:t>
      </w:r>
      <w:r>
        <w:rPr>
          <w:sz w:val="28"/>
          <w:szCs w:val="28"/>
        </w:rPr>
        <w:t xml:space="preserve">) граждан и не приученные к войне могли быть вынуждены сражаться с опытными в военном деле» (Syn.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 xml:space="preserve">, 19) В этом отрывке речь идёт о варварах, которые находились на службе в римской армии. Этот отрывок можно сопоставить с сообщением   Иордана о событиях 378 г., а именно, о восстании готов под предводительством Фритигерна.  Иордан (или Кассиодор, сочинение которого «История готов» стало основой труда Иордана) пишет следующее: «И начали тогда готы, уже не как пришельцы и чужаки, но как (римские- Е.Ч. Скржинская) граждане  и </w:t>
      </w:r>
      <w:r>
        <w:rPr>
          <w:b/>
          <w:sz w:val="28"/>
          <w:szCs w:val="28"/>
        </w:rPr>
        <w:t>господа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cives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domini</w:t>
      </w:r>
      <w:r>
        <w:rPr>
          <w:sz w:val="28"/>
          <w:szCs w:val="28"/>
        </w:rPr>
        <w:t>- О.П.) повелевать землевладельцами и держать в своей власти все северные области вплоть до Данубия» (Io</w:t>
      </w:r>
      <w:r>
        <w:rPr>
          <w:sz w:val="28"/>
          <w:szCs w:val="28"/>
          <w:lang w:val="en-US"/>
        </w:rPr>
        <w:t>rd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Get</w:t>
      </w:r>
      <w:r>
        <w:rPr>
          <w:sz w:val="28"/>
          <w:szCs w:val="28"/>
        </w:rPr>
        <w:t xml:space="preserve">. 137). Сравнивая эти два отрывка,  можно обратить внимание на схожую терминологию у Синезия и Иордана (δέσποταις и domini) –варвары –готы становятся господами по отношению к мирному населению империи. Можно предположить, что </w:t>
      </w:r>
      <w:r>
        <w:rPr>
          <w:sz w:val="28"/>
          <w:szCs w:val="28"/>
        </w:rPr>
        <w:t>Синезий, будучи свидетелем событий 378 г., в своём пассаже имел в виду именно восстание Фритигерна и битву под Адрианополем, когда римская армия не смогла противостоять готам.</w:t>
      </w:r>
      <w:r>
        <w:rPr>
          <w:rStyle w:val="style38"/>
          <w:sz w:val="28"/>
          <w:szCs w:val="28"/>
        </w:rPr>
        <w:footnoteReference w:id="10"/>
      </w:r>
      <w:r>
        <w:rPr>
          <w:sz w:val="28"/>
          <w:szCs w:val="28"/>
        </w:rPr>
        <w:t xml:space="preserve"> Поэтому он призывает императора Аркадия удалить варваров из армии и заменить их гражданами империи, чтобы избежать повторения событий 378 г., в ходе которых стало ясно, что варвары могут представлять серьёзную опасность для спокойствия империи.  Как отмечает А.Х.М. Джонс, после битвы при Адрианополе император Федосий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 вынужден пополнить армию за счет варваров, так что ряды ее оказались наполненными германцами. Опасность, которую они представляли для Империи и о которой предупреждал Синезий, в полной мере проявила себя во время мятежа Гайны.</w:t>
      </w:r>
      <w:r>
        <w:rPr>
          <w:rStyle w:val="style38"/>
          <w:sz w:val="28"/>
          <w:szCs w:val="28"/>
        </w:rPr>
        <w:footnoteReference w:id="11"/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№21-29 Третья часть посвящена нуждам подданных империи, касающимся уменьшения размера податей, назначению чиновников на посты и другим вопросам. Например, Синезий напоминает императору, что «не подобает государю истощать города поборами».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25)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Переходя к рассмотрению взглядов Синезия на проблему варваров в Империи, следует обратить внимание на терминологию: для Синезия понятие «варвар» равно понятию «скиф», т.е. он сознательно не использует современные ему реалии языка, т.е  называет готов, о которых на самом деле идет речь в «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», скифами.</w:t>
      </w:r>
      <w:r>
        <w:rPr>
          <w:rStyle w:val="style38"/>
          <w:sz w:val="28"/>
          <w:szCs w:val="28"/>
        </w:rPr>
        <w:footnoteReference w:id="12"/>
      </w:r>
      <w:r>
        <w:rPr>
          <w:sz w:val="28"/>
          <w:szCs w:val="28"/>
        </w:rPr>
        <w:t xml:space="preserve"> Как полагает исследователь, в этом случае Синезий имел в виду все варварские народы Нижнего Дуная.</w:t>
      </w:r>
      <w:r>
        <w:rPr>
          <w:rStyle w:val="style38"/>
          <w:sz w:val="28"/>
          <w:szCs w:val="28"/>
        </w:rPr>
        <w:footnoteReference w:id="13"/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рассматривая отношение Синезия к варварам, следует сделать оговорку следующего характера: в современных работах, посвященных разбору данного сочинения, даётся историческая интерпретация </w:t>
      </w:r>
      <w:r>
        <w:rPr>
          <w:sz w:val="28"/>
          <w:szCs w:val="28"/>
        </w:rPr>
        <w:t>событий. П. Хизер</w:t>
      </w:r>
      <w:r>
        <w:rPr>
          <w:rStyle w:val="style38"/>
          <w:sz w:val="28"/>
          <w:szCs w:val="28"/>
        </w:rPr>
        <w:footnoteReference w:id="14"/>
      </w:r>
      <w:r>
        <w:rPr>
          <w:sz w:val="28"/>
          <w:szCs w:val="28"/>
        </w:rPr>
        <w:t>, Е.П. Глушанин</w:t>
      </w:r>
      <w:r>
        <w:rPr>
          <w:rStyle w:val="style38"/>
          <w:sz w:val="28"/>
          <w:szCs w:val="28"/>
        </w:rPr>
        <w:footnoteReference w:id="15"/>
      </w:r>
      <w:r>
        <w:rPr>
          <w:sz w:val="28"/>
          <w:szCs w:val="28"/>
        </w:rPr>
        <w:t xml:space="preserve"> и ряд других исследователей  убедительно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доказывают, что под варварами-скифами, представляющими угрозу для  позднеантичного государства, Синезий подразумевал готов Алариха, находившихся на   территории восточной части Римской империи  в 399 г., т.е. в момент произнесения речи.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Переходя к рассмотрению античных традиций  в речи Синезия, следует отметить, что оратор, живший на рубеже IV-V вв., в своём представлении о варварах придерживался  того направления  античной мысли,  в которой давалась негативная оценка иноземным народам. Но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чем приступить к изложению данной темы, необходимо сделать ряд замечаний.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В тексте речи  содержится большое количество ссылок и прямых цитат из античных авторов. Синезий приводит в качестве аргументов для подтверждения своих идей примеры из древней истории и сочинений авторов, уже в ту пору ставшими классическими образцами для подражания. Например, рассказывая об истории возникновения слова «</w:t>
      </w:r>
      <w:r>
        <w:rPr>
          <w:color w:val="000000"/>
          <w:sz w:val="28"/>
          <w:szCs w:val="28"/>
        </w:rPr>
        <w:t>αὐτοκράτωρ</w:t>
      </w:r>
      <w:r>
        <w:rPr>
          <w:sz w:val="28"/>
          <w:szCs w:val="28"/>
        </w:rPr>
        <w:t>», он упоминает Перикла, афинского политического деятеля V в. до н.э., и Ификрата, афинского полководца 1-й пол.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в. до н.э.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17).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 цитируемых Синезием  античных авторов довольно широк и разнообразен. На первом месте по частоте использования стоит Гомер. Оратор двенадцать раз ссылается на различные отрывки из Илиады и пять раз приводит строки, взятые из Одиссеи. Гомер являлся в  период классической античности непререкаемым  авторитетом и образцом для подражания.  Изучение его поэм было основой образования в древности.    Обращение оратора к Гомеру говорит о его стремлении следовать античным канонам  в </w:t>
      </w:r>
      <w:r>
        <w:rPr>
          <w:sz w:val="28"/>
          <w:szCs w:val="28"/>
        </w:rPr>
        <w:t xml:space="preserve">полной мере, и в этом  случае, безусловно, проявило себя языческое воспитание и образование, полученное им.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Синезий обращается  также к  поэме Гесиода «Труды и дни», к сочинению  Геродота «История», к трагедиям Еврипида «Медея», «Троянки»,  и Эсхила «Прометей». Для обоснования своего взгляда на государство он приводит мнения  Платона и  Аристотеля по этому вопросу, «называя их своими наставниками».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8).  В тексте речи есть упоминания и о других античных авторах.  Обоснование своей позиции на основе примеров, взятых из классических  сочинений, свидетельствует о желании автора подчеркнуть  связь высказываемых им положений с идеями, освящёнными традицией, показать несоответствие ситуации, сложившейся в империи в IV в., этим представлениям и призвать императора вернуться к утраченным ценностям  древности.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Готов, находившихся на территории империи в 399 г., Синезий   называет скифами, тем самым  намеренно архаизируя свою  речь для того, чтобы показать отсталость, дикость и жестокость варваров. Скифы как этнос исчезли  с исторической арены на рубеже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вв. н.э. У поздних авторов, например, у Евнапия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в.н.э.) готы также фигурируют под именем скифов, но в данном случае следует учитывать особенности стиля историка, когда одно понятие заменяется другим.  Б. Шоу</w:t>
      </w:r>
      <w:r>
        <w:rPr>
          <w:rStyle w:val="style38"/>
          <w:sz w:val="28"/>
          <w:szCs w:val="28"/>
        </w:rPr>
        <w:footnoteReference w:id="16"/>
      </w:r>
      <w:r>
        <w:rPr>
          <w:sz w:val="28"/>
          <w:szCs w:val="28"/>
        </w:rPr>
        <w:t xml:space="preserve"> доказывает, что название «скифы» с течением времени распространилось на всех северных варваров. В результате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вв.н.э. этот этноним применялся даже по отношению к гуннам. Такое явление могло иметь место, поскольку не все римляне достаточно хорошо представляли изменения, имевшие место на территории варварской периферии.</w:t>
      </w:r>
    </w:p>
    <w:p>
      <w:pPr>
        <w:pStyle w:val="style29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Путаница в наименовании народов, населявших  северные окраины империи характерна не только для авторов, стремящихся тем самым </w:t>
      </w:r>
      <w:r>
        <w:rPr>
          <w:sz w:val="28"/>
          <w:szCs w:val="28"/>
        </w:rPr>
        <w:t>подчеркнуть их отсталость от римского цивилизованного мира, но для тех, кто не видел разницы между племенами и не разбирался в изменениях, произошедших в варварской среде.  Готы, обитавшие в районах, где прежде находились скифы, стали наследниками их этнического имени.</w:t>
      </w:r>
      <w:r>
        <w:rPr>
          <w:rStyle w:val="style38"/>
          <w:sz w:val="28"/>
          <w:szCs w:val="28"/>
        </w:rPr>
        <w:footnoteReference w:id="17"/>
      </w:r>
      <w:r>
        <w:rPr>
          <w:sz w:val="28"/>
          <w:szCs w:val="28"/>
        </w:rPr>
        <w:t xml:space="preserve"> Территория, где в период поздней античности находились готы, традиционно ассоциировалась со скифами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 прежде её населяли. В.П. Буданова считает, что смешение понятий «готы-скифы» основано на «глубоко укоренившейся  традиции, идущей ещё со времён Геродота, обозначать всех варваров, нахлынувших из-за Истра, собирательным термином «скифы».</w:t>
      </w:r>
      <w:r>
        <w:rPr>
          <w:rStyle w:val="style38"/>
          <w:sz w:val="28"/>
          <w:szCs w:val="28"/>
        </w:rPr>
        <w:footnoteReference w:id="18"/>
      </w:r>
      <w:r>
        <w:rPr>
          <w:sz w:val="28"/>
          <w:szCs w:val="28"/>
        </w:rPr>
        <w:t xml:space="preserve">   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Х. Вольфрам отмечает, что  «Скифские», то есть первоначальные, gentes не имели жёсткой структуры. Они могли погибнуть в одночасье, и никто не знал, погибли ли они или продолжали существовать где- нибудь на краю света. Можно повторить обращённые к императору Аркадию слова Синезия Киренского о том, что нет новых варваров. Они изобретают всё новые имена и меняют внешность, чтобы дивить римлян, цивилизованный мир; по сути, скифы не изменились со времён Геродота».</w:t>
      </w:r>
      <w:r>
        <w:rPr>
          <w:rStyle w:val="style38"/>
          <w:sz w:val="28"/>
          <w:szCs w:val="28"/>
        </w:rPr>
        <w:footnoteReference w:id="19"/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Синезий  говорит о скифах,  следуя, возможно, этой традиции, и не желая проводить различие между народами, населявшими земли за пределами северной границы империи, а так же желая показать их отсталость и варварство.  Для него  слова «скиф» и «варвар» являются синонимами, т.к. в тексте самой речи он называет их то варварами, то скифами.  Скифы в представлении Синезия являются воплощением варварского начала: они вероломны («они бросятся на нас, когда почувствуют, что могут сделать это с успехом»- Syn.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 xml:space="preserve">,19), «не понимают добродетели» ( 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 xml:space="preserve">,21), </w:t>
      </w:r>
      <w:r>
        <w:rPr>
          <w:sz w:val="28"/>
          <w:szCs w:val="28"/>
        </w:rPr>
        <w:t>«одержимы трусостью»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20) и т.д. Эти свойства приписывали негреческим народам античные авторы, негативно относящиеся к чужестранцам.  Ниже будут разобраны  отрывки, показывающие отношение оратора к варварам.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«Во всех семействах, пользующихся достатком, рабами бывают скифы; скифы накрывают на стол, готовят еду, разливают вино. Служители, носящие носилки, на которые садятся их господа на  улицах, тоже скифы. Вообще скифы- племя,  издревле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рождённое для рабства, достойное и годное только на служение римлянам».(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20).Как говорилось ранее,  слово «скиф» является  синонимом слова варвар в речи Синезия. Утверждая, что скифы-варвары являются рабами по природе, оратор  идёт вслед за   Аристотелем, считавшим варвара и раба по природе своей понятиями тождественными. (</w:t>
      </w:r>
      <w:r>
        <w:rPr>
          <w:sz w:val="28"/>
          <w:szCs w:val="28"/>
          <w:lang w:val="en-US"/>
        </w:rPr>
        <w:t>Arist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Polit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1, 5)  На основании приведённого положения философ также полагал, что «по своим природным свойствам варвары более склонны к тому, чтобы переносить рабство, нежели эллины» (Arist. </w:t>
      </w:r>
      <w:r>
        <w:rPr>
          <w:sz w:val="28"/>
          <w:szCs w:val="28"/>
          <w:lang w:val="en-US"/>
        </w:rPr>
        <w:t>Polit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9,3).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Синезий, учитывая изменившуюся ситуацию, сравнивает уже не греков и варваров, а римлян и варваров-скифов, способных  только прислуживать господам, и не способных ни к какой другой, более значимой, деятельности, принимая идею Аристотеля  о том, что варвары рождены для рабства и являются рабами по природе. М.В.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Левченко</w:t>
      </w:r>
      <w:r>
        <w:rPr>
          <w:rStyle w:val="style38"/>
          <w:sz w:val="28"/>
          <w:szCs w:val="28"/>
        </w:rPr>
        <w:footnoteReference w:id="20"/>
      </w:r>
      <w:r>
        <w:rPr>
          <w:sz w:val="28"/>
          <w:szCs w:val="28"/>
        </w:rPr>
        <w:t xml:space="preserve"> считал, что «Синезий не сомневается в том, что варвары- племя, искони предназначенное для рабства у римлян и греков. Рабы для него – особая порода людей, предназначенная к подчинению, часть имущества, своеобразный источник хозяйственных благ  для лиц, созидающих высшие ценности».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«Скифы же- племена, как  говорит Геродот, да и сами мы это видели, одержимые трусостью. Из них ведь во все страны доставляются рабы. Блуждающие и не имеющие отечества, они постоянно переменяют страну, -</w:t>
      </w:r>
      <w:r>
        <w:rPr>
          <w:sz w:val="28"/>
          <w:szCs w:val="28"/>
        </w:rPr>
        <w:t>отсюда это выражение, перешедшее в поговорку: «пустыня скифская» 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21)   В приведённом отрывке Синезий  обращается к свидетельству Геродота, но понимает его по-своему, желая доказать низкие душевные качества варваров. «Среди всех известных нам народов только скифы обладают одним, но зато самым важным для человеческой жизни искусством. Оно состоит в том, что ни одному врагу, напавшему на их страну, они не дают спастись; и никто не может их настичь, если только они сами не допустят этого. Ведь у скифов нет ни городов, ни укреплений, и свои жилища они возят с собой. Все они конные лучники и промышляют не земледелием, а скотоводством; их жилища в кибитках. Как же такому народу не быть неодолимым и неприступным? (Herod.IV,46) Геродот, рассказывая о скифах, видел преимущество кочевого образа жизни, что вполне соответствовало его идее создания привлекательного облика скифов- кочевников.</w:t>
      </w:r>
      <w:r>
        <w:rPr>
          <w:rStyle w:val="style38"/>
          <w:sz w:val="28"/>
          <w:szCs w:val="28"/>
        </w:rPr>
        <w:footnoteReference w:id="21"/>
      </w:r>
      <w:r>
        <w:rPr>
          <w:sz w:val="28"/>
          <w:szCs w:val="28"/>
        </w:rPr>
        <w:t xml:space="preserve">  Синезий, заимствуя данный сюжет,  стремился истолковать тактику постоянного отступления и избегания открытого боя как признак трусости и малодушия варваров, что согласовывалось с отрицательной характеристикой иноземцев.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Однако Синезий не был одинок в истолковании кочевого образа жизни как отсталого. Фемистий,</w:t>
      </w:r>
      <w:r>
        <w:rPr>
          <w:rStyle w:val="style38"/>
          <w:sz w:val="28"/>
          <w:szCs w:val="28"/>
        </w:rPr>
        <w:footnoteReference w:id="22"/>
      </w:r>
      <w:r>
        <w:rPr>
          <w:sz w:val="28"/>
          <w:szCs w:val="28"/>
        </w:rPr>
        <w:t xml:space="preserve"> ритор IV  в. н.э., в речи «Заниматься ли </w:t>
      </w:r>
      <w:r>
        <w:rPr>
          <w:sz w:val="28"/>
          <w:szCs w:val="28"/>
        </w:rPr>
        <w:t>земледелием?» утверждает, что «кочевник ведёт жизнь бездомную, звериную», а прогресс возможен только у народов, занимающихся земледелием.  Возможно, в период поздней античности сложилось  общее представление о кочевом образе жизни как отсталом,</w:t>
      </w:r>
      <w:r>
        <w:rPr>
          <w:rStyle w:val="style38"/>
          <w:sz w:val="28"/>
          <w:szCs w:val="28"/>
        </w:rPr>
        <w:footnoteReference w:id="23"/>
      </w:r>
      <w:r>
        <w:rPr>
          <w:sz w:val="28"/>
          <w:szCs w:val="28"/>
        </w:rPr>
        <w:t xml:space="preserve"> и Синезий в данном  случае выразил не свой личный взгляд на эту проблему, а отразил в своём сочинении идеи, уже имевшие место в обществе.</w:t>
      </w:r>
    </w:p>
    <w:p>
      <w:pPr>
        <w:pStyle w:val="style29"/>
        <w:spacing w:lineRule="auto" w:line="360"/>
        <w:ind w:firstLine="7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«Это был человек (Феодосий I-О.П.), проявивший в милосердии  благородство и великодушие своей природы, но варвары не понимают добродетели</w:t>
      </w:r>
      <w:r>
        <w:rPr>
          <w:b/>
          <w:sz w:val="28"/>
          <w:szCs w:val="28"/>
        </w:rPr>
        <w:t xml:space="preserve">» ( </w:t>
      </w:r>
      <w:r>
        <w:rPr>
          <w:rFonts w:ascii="Greek" w:hAnsi="Greek"/>
          <w:b/>
          <w:sz w:val="28"/>
          <w:szCs w:val="28"/>
        </w:rPr>
        <w:t>/</w:t>
      </w:r>
      <w:r>
        <w:rPr>
          <w:sz w:val="28"/>
          <w:szCs w:val="28"/>
        </w:rPr>
        <w:t xml:space="preserve">Αλλ`  </w:t>
      </w:r>
      <w:r>
        <w:rPr>
          <w:rFonts w:ascii="Calibri" w:hAnsi="Calibri"/>
          <w:sz w:val="28"/>
          <w:szCs w:val="28"/>
          <w:lang w:val="el-GR"/>
        </w:rPr>
        <w:t>αρ</w:t>
      </w:r>
      <w:r>
        <w:rPr>
          <w:sz w:val="28"/>
          <w:szCs w:val="28"/>
        </w:rPr>
        <w:t>ετής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γ</w:t>
      </w:r>
      <w:r>
        <w:rPr>
          <w:rFonts w:ascii="Greek" w:hAnsi="Greek"/>
          <w:sz w:val="28"/>
          <w:szCs w:val="28"/>
        </w:rPr>
        <w:sym w:font="Athenian" w:char="a2"/>
      </w:r>
      <w:r>
        <w:rPr>
          <w:sz w:val="28"/>
          <w:szCs w:val="28"/>
        </w:rPr>
        <w:t xml:space="preserve"> τό βáρβαρον </w:t>
      </w:r>
      <w:r>
        <w:rPr>
          <w:rFonts w:ascii="Calibri" w:hAnsi="Calibri"/>
          <w:sz w:val="28"/>
          <w:szCs w:val="28"/>
          <w:lang w:val="el-GR"/>
        </w:rPr>
        <w:t>ου</w:t>
      </w:r>
      <w:r>
        <w:rPr>
          <w:sz w:val="28"/>
          <w:szCs w:val="28"/>
        </w:rPr>
        <w:t xml:space="preserve"> ξυνιήσιν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,21) Речь идёт об условиях договора 382 г., по которому готы были поселены на территории империи. Приведённый отрывок интересен тем, что в греческом   оригинале Синезий употребил слово «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>ρετή», переведённое М. В.Левченко как «добродетель». Русское слово «добродетель»  не полностью отражает смысл греческого термина. Историк античности А.-И. Марру</w:t>
      </w:r>
      <w:r>
        <w:rPr>
          <w:rStyle w:val="style38"/>
          <w:sz w:val="28"/>
          <w:szCs w:val="28"/>
        </w:rPr>
        <w:footnoteReference w:id="24"/>
      </w:r>
      <w:r>
        <w:rPr>
          <w:sz w:val="28"/>
          <w:szCs w:val="28"/>
        </w:rPr>
        <w:t xml:space="preserve">   следующим образом определил понятие «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 xml:space="preserve">ρετή»: «Идеальная ценность, которой приносится в жертву и самое жизнь- это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 xml:space="preserve">ρετή, непереводимое слово; было бы смешно пытаться передать его, следуя нашим словарям, как «добродетель» (vertu), разве что оживив бесцветную  вокабулу всем, что современники Макиавелли вкладывали в своё virtu. Αρετή- это, в самом общем смысле, доблесть, а в рыцарском употреблении- то, что делает человека храбрецом, героем. …Гомеровский герой живёт и умирает, воплощая в своём поведении определённые идеи, определённый способ жизни, символизируемый словом 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 xml:space="preserve">ρετή».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Αρετή воплощает в себе идеалы, восходящие к эпическим представлениям о достоинстве, доблести, отражённые в поэмах Гомера. Понятие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>ρετή, например, в «Илиаде» используется как характеристика соверешенного человека: «Всяческих полон он был добродетелей» (</w:t>
      </w:r>
      <w:r>
        <w:rPr>
          <w:sz w:val="28"/>
          <w:szCs w:val="28"/>
          <w:lang w:val="en-US"/>
        </w:rPr>
        <w:t>Hom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,642).</w:t>
      </w:r>
      <w:r>
        <w:rPr>
          <w:rStyle w:val="style38"/>
          <w:sz w:val="28"/>
          <w:szCs w:val="28"/>
        </w:rPr>
        <w:footnoteReference w:id="25"/>
      </w:r>
      <w:r>
        <w:rPr>
          <w:sz w:val="28"/>
          <w:szCs w:val="28"/>
        </w:rPr>
        <w:t xml:space="preserve"> Это понятие сочетает в себе все лучшие качества человека: силу, храбрость, ум и т. д. Оно существовало на протяжении всей классической древности и характеризовало высшую степень развития человека. Немецкий историк В. Йегер</w:t>
      </w:r>
      <w:r>
        <w:rPr>
          <w:rStyle w:val="style38"/>
          <w:sz w:val="28"/>
          <w:szCs w:val="28"/>
        </w:rPr>
        <w:footnoteReference w:id="26"/>
      </w:r>
      <w:r>
        <w:rPr>
          <w:sz w:val="28"/>
          <w:szCs w:val="28"/>
        </w:rPr>
        <w:t xml:space="preserve"> полагает, что «греки всегда воспринимали выдающиеся заслуги и силу (т.е. те качества, которые входят в понятие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 xml:space="preserve">ρετή) как само собой разумеющуюся предпосылку всякого господствующего положения», поэтому  Синезий, отказывая варварам в наличии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 xml:space="preserve">ρετή, ставит их на более низкий уровень духовного развития, по сравнению с римлянами и обосновывает  необходимость их подчинения. Более того, он отказывает им в возможности даже воспринять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>ρετή, проявляющуюся у другого человека. Оратор проводит грань между античной цивилизацией и варварской культурой, которая никогда, по его мнению, не будет преодолена вследствие неспособности чужеземцев усвоить идеалы античности. Г.Л. Курбатов справедливо отмечает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«варварская проблема центральна у Синезия не только как военная, а как государственно-политическая, но в более широком смысле, почти философском. Она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 существу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 в себя все, что противостоит традиционным устоям греко-римского общества, его основам. Очень часто он говорит не о варварах как таковых и их действиях, а об их «варварстве»- том духе, который они вносят в общество, функционирование его институтов, идеологию. Они извращают их смысл и поэтому разлагают и </w:t>
      </w:r>
      <w:r>
        <w:rPr>
          <w:sz w:val="28"/>
          <w:szCs w:val="28"/>
        </w:rPr>
        <w:t>трансформируют их изнутри, и поэтому их нельзя допускать и к гражданскому управлению».</w:t>
      </w:r>
      <w:r>
        <w:rPr>
          <w:rStyle w:val="style38"/>
          <w:sz w:val="28"/>
          <w:szCs w:val="28"/>
        </w:rPr>
        <w:footnoteReference w:id="27"/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«Пусть они (скифы-О.П.) или в зависимом состоянии обрабатывают землю, как это некогда делали мессеняне для лакедемонян, положив оружие, или пусть бегут тем же путём, каким пришли». (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Regno</w:t>
      </w:r>
      <w:r>
        <w:rPr>
          <w:sz w:val="28"/>
          <w:szCs w:val="28"/>
        </w:rPr>
        <w:t>, 21) Идея о том, что варваров можно использовать в качестве земледельцев, так же была заимствована  у Аристотеля. «Если же говорить о желательном порядке, то лучше всего, чтобы землепашцы были рабами. …Затем, на втором месте, они могут быть варварами- периеками, отличающимися теми же природными качествами. (</w:t>
      </w:r>
      <w:r>
        <w:rPr>
          <w:sz w:val="28"/>
          <w:szCs w:val="28"/>
          <w:lang w:val="en-US"/>
        </w:rPr>
        <w:t>Arist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Polit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,9.9)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Аристотель, приравнивая варваров к рабам, считал возможным для них занятия земледелием, что можно было осуществить в условиях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 н.э., когда чужеземцы, представители негреческих плем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 могли находиться на территории Греции только в качестве рабов. Тем не менее, аналогичное  предложение о переведении всех варваров на положение зависимых земледельцев, высказанное Синезием, жившем в эпоху, когда выходцы из варварских племён успешно служили в римской армии и  могли достичь высших должностей в государстве,   представляется анахронизмом. </w:t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Варвары в силу исторических обстоятельств стали неотъемлемой частью позднеримского общества. Исследователь Х. Вольфрам справедливо отмечает, что «руководство Империи  не могло ни истребить принятых в Империю варваров и федератов, ни отбросить их за Дунай, как того требовал Синезий Киренский в духе старого язычника Либания и о чём иногда, вероятно, мечтал Аммиан Марцеллин».</w:t>
      </w:r>
      <w:r>
        <w:rPr>
          <w:rStyle w:val="style38"/>
          <w:sz w:val="28"/>
          <w:szCs w:val="28"/>
        </w:rPr>
        <w:footnoteReference w:id="28"/>
      </w:r>
    </w:p>
    <w:p>
      <w:pPr>
        <w:pStyle w:val="style0"/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приведённые выше примеры, можно заключить, что, преследуя свои политические интересы, Синезий написал речь, направленную против усиления влияния варваров на государственную жизнь Римской </w:t>
      </w:r>
      <w:r>
        <w:rPr>
          <w:sz w:val="28"/>
          <w:szCs w:val="28"/>
        </w:rPr>
        <w:t xml:space="preserve">империи IV в. Он стремился доказать, что сложившаяся ситуация таит в себе угрозу  для стабильности позднеантичного общества. Под именем скифов в речи Синезия подразумеваются готы.  Речь  «О Царстве» написана на основе широкого использования литературы классической древности. Синезий противопоставил античную цивилизацию и варварский мир с помощью понятия </w:t>
      </w:r>
      <w:r>
        <w:rPr>
          <w:rFonts w:ascii="Calibri" w:hAnsi="Calibri"/>
          <w:sz w:val="28"/>
          <w:szCs w:val="28"/>
          <w:lang w:val="el-GR"/>
        </w:rPr>
        <w:t>Α</w:t>
      </w:r>
      <w:r>
        <w:rPr>
          <w:sz w:val="28"/>
          <w:szCs w:val="28"/>
        </w:rPr>
        <w:t>ρετή</w:t>
      </w:r>
      <w:r>
        <w:rPr>
          <w:rFonts w:ascii="Greek" w:hAnsi="Greek"/>
          <w:sz w:val="28"/>
          <w:szCs w:val="28"/>
        </w:rPr>
        <w:t>»</w:t>
      </w:r>
      <w:r>
        <w:rPr>
          <w:sz w:val="28"/>
          <w:szCs w:val="28"/>
        </w:rPr>
        <w:t xml:space="preserve">. Для обоснования своих взглядов он привлёк отрывок из труда Геродота «История», истолковав его иначе, нежели это делает Геродот.   Для создания негативного образа варваров оратор следовал античной традиции отрицательного отношения к чужеземцам, нашедшей яркое выражение в сочинении  Аристотеля «Политика». Синезий заимствовал некоторые идеи,  высказанные в трудах  античных авторов,  и применил их к современной ему ситуации.  В речи «О Царстве» оратор следовал  одной из  традиций классической древности  в восприятии чужеземцев, адаптируя её к условиям IV в. н.э. </w:t>
      </w:r>
    </w:p>
    <w:p>
      <w:pPr>
        <w:pStyle w:val="style0"/>
        <w:tabs>
          <w:tab w:val="left" w:leader="none" w:pos="1980"/>
        </w:tabs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Но не все исследователи признают антигерманизм явлением идеологическим. «Подлинные причины антиварварских настроений, равно как и синезиевой программы реформирования армии, крылись в материальных интересах «антиготской» партии, в которую, как показал А.С.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Козлов, входили верхушка куриалов, видимо, торгово-ростовщическая знать и часть церковной верхушки, связанные с существованием полисов. Критика военной политики Феодосия Синезием не случайна, ибо эта политика в значительной мере оплачивалась за счёт «полисной» прослойки землевладельцев».</w:t>
      </w:r>
      <w:r>
        <w:rPr>
          <w:rStyle w:val="style38"/>
          <w:sz w:val="28"/>
          <w:szCs w:val="28"/>
        </w:rPr>
        <w:footnoteReference w:id="29"/>
      </w:r>
    </w:p>
    <w:p>
      <w:pPr>
        <w:pStyle w:val="style0"/>
        <w:tabs>
          <w:tab w:val="left" w:leader="none" w:pos="1980"/>
        </w:tabs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заметить, что антиварварские настроения появились в конце IV-начале V вв. не только в восточной части Римской империи, но и в западной, где существовала оппозиция Стилихону. После подавления восстания Трибигильда и Гайны и свержения Стилихона – кульминационных событий в ходе антигерманской компании, антиварварские настроения сохранялись в восточной части Империи. Ремондон обращает внимание на процесс </w:t>
      </w:r>
      <w:r>
        <w:rPr>
          <w:sz w:val="28"/>
          <w:szCs w:val="28"/>
        </w:rPr>
        <w:t>эллинизации, когда в государстве усиливалось греческое начало,</w:t>
      </w:r>
      <w:r>
        <w:rPr>
          <w:rStyle w:val="style38"/>
          <w:sz w:val="28"/>
          <w:szCs w:val="28"/>
        </w:rPr>
        <w:footnoteReference w:id="30"/>
      </w:r>
      <w:r>
        <w:rPr>
          <w:sz w:val="28"/>
          <w:szCs w:val="28"/>
        </w:rPr>
        <w:t xml:space="preserve"> который стал ответом на усиливавшееся влияние варварского элемента на жизнь восточноримского общества в конце IV- начале V вв.</w:t>
      </w:r>
      <w:r>
        <w:rPr>
          <w:sz w:val="28"/>
          <w:szCs w:val="28"/>
        </w:rPr>
        <w:t xml:space="preserve"> </w:t>
      </w:r>
    </w:p>
    <w:p>
      <w:pPr>
        <w:pStyle w:val="style0"/>
        <w:tabs>
          <w:tab w:val="left" w:leader="none" w:pos="1980"/>
        </w:tabs>
        <w:spacing w:lineRule="auto" w:line="36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фактор, о котором пишет Е.П.Глушанин, несомненно, оказывал влияние на формирование антиварварских настроений в обществе, но так же надо учитывать влияние сохранявшихся в тот период черт античного  менталитета с его неприятием  всего варварского как нецивилизованного, и в случае Синезием именно он имел решающее значение для формулировки идей антигерманизма.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Greek">
    <w:altName w:val="Courier New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thenian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</w:rPr>
        <w:footnoteRef/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Coster C.H. Synesius, a curialis of the time of the emperor Arcadius // Byzantion, 15, 1940-1941. p.18-38. p.25</w:t>
      </w:r>
    </w:p>
  </w:footnote>
  <w:footnote w:id="2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>Левченко М.В. Синезий Киренский. «О Царстве» /пер.с греч. Яз М.В.Левченко //ВВ, 1953, с.327-357. С.330.</w:t>
      </w:r>
    </w:p>
  </w:footnote>
  <w:footnote w:id="3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Курбатов Г.Л.  Ранневизантийские портреты. К истории общественно-политической мысли. Л., 1991.  с.147.</w:t>
      </w:r>
    </w:p>
  </w:footnote>
  <w:footnote w:id="4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Левченко М.В. Материалы для внутренней истории Восточной Римской империи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вв. // Византийский сборник, М.-Л., 1945. С</w:t>
      </w:r>
      <w:r>
        <w:rPr>
          <w:sz w:val="24"/>
          <w:szCs w:val="24"/>
          <w:lang w:val="en-US"/>
        </w:rPr>
        <w:t>. 81.</w:t>
      </w:r>
    </w:p>
  </w:footnote>
  <w:footnote w:id="5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 Volkmann R. Synesius von Cyrene. </w:t>
      </w:r>
      <w:r>
        <w:rPr>
          <w:sz w:val="24"/>
          <w:szCs w:val="24"/>
          <w:lang w:val="en-US"/>
        </w:rPr>
        <w:t>Berlin</w:t>
      </w:r>
      <w:r>
        <w:rPr>
          <w:sz w:val="24"/>
          <w:szCs w:val="24"/>
          <w:lang w:val="en-US"/>
        </w:rPr>
        <w:t xml:space="preserve">, 1869. S.26. </w:t>
      </w:r>
    </w:p>
  </w:footnote>
  <w:footnote w:id="6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Grützmacher G. Synesios von Kyrene. </w:t>
      </w:r>
      <w:r>
        <w:rPr>
          <w:sz w:val="24"/>
          <w:szCs w:val="24"/>
          <w:lang w:val="en-US"/>
        </w:rPr>
        <w:t>Leipzig</w:t>
      </w:r>
      <w:r>
        <w:rPr>
          <w:sz w:val="24"/>
          <w:szCs w:val="24"/>
          <w:lang w:val="en-US"/>
        </w:rPr>
        <w:t xml:space="preserve">, 1913. S. 38; Stein E. Histoire du Bas- Empire, t. I. Paris, 1959, p.360; Coster C.H. Synesius, a curialis of the time of the emperor Arcadius.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>.25; Synésios de Cyrène. Hymnes. T.I /texte étab.et trad. par Chr. Lacombrade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Paris</w:t>
      </w:r>
      <w:r>
        <w:rPr>
          <w:sz w:val="24"/>
          <w:szCs w:val="24"/>
        </w:rPr>
        <w:t xml:space="preserve">, 1978.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.28</w:t>
      </w:r>
    </w:p>
  </w:footnote>
  <w:footnote w:id="7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 Левченко М.В.  Синезий в Константинополе. С.230. </w:t>
      </w:r>
    </w:p>
  </w:footnote>
  <w:footnote w:id="8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Lacombrade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Chr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Le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discours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Royaut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 à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`</w:t>
      </w:r>
      <w:r>
        <w:rPr>
          <w:sz w:val="24"/>
          <w:szCs w:val="24"/>
          <w:lang w:val="en-US"/>
        </w:rPr>
        <w:t>empereur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Arcadios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Paris</w:t>
      </w:r>
      <w:r>
        <w:rPr>
          <w:sz w:val="24"/>
          <w:szCs w:val="24"/>
        </w:rPr>
        <w:t>, 1951. р.86-87</w:t>
      </w:r>
    </w:p>
  </w:footnote>
  <w:footnote w:id="9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Также справедливо замечание, сделанное П. Хизером. Исследователь полагает, что Синезий высказывал идеи, касавшиеся уменьшения роли варваров в империи, которые использовал Аврелиан, один из лидеров антигерманской партии и друг Синезия, в своей борьбе за власть. –</w:t>
      </w:r>
      <w:r>
        <w:rPr>
          <w:sz w:val="24"/>
          <w:szCs w:val="24"/>
          <w:lang w:val="en-US"/>
        </w:rPr>
        <w:t>Heather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Gohts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Romans</w:t>
      </w:r>
      <w:r>
        <w:rPr>
          <w:sz w:val="24"/>
          <w:szCs w:val="24"/>
        </w:rPr>
        <w:t xml:space="preserve"> (332-498). </w:t>
      </w:r>
      <w:r>
        <w:rPr>
          <w:sz w:val="24"/>
          <w:szCs w:val="24"/>
          <w:lang w:val="en-US"/>
        </w:rPr>
        <w:t>Oxford</w:t>
      </w:r>
      <w:r>
        <w:rPr>
          <w:sz w:val="24"/>
          <w:szCs w:val="24"/>
          <w:lang w:val="en-US"/>
        </w:rPr>
        <w:t xml:space="preserve">, 1992.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 xml:space="preserve">.206.   </w:t>
      </w:r>
    </w:p>
  </w:footnote>
  <w:footnote w:id="10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Lacombrade Chr. Le discours sur </w:t>
      </w:r>
      <w:r>
        <w:rPr>
          <w:sz w:val="24"/>
          <w:szCs w:val="24"/>
          <w:lang w:val="en-US"/>
        </w:rPr>
        <w:t>la Royauté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>. 124</w:t>
      </w:r>
    </w:p>
  </w:footnote>
  <w:footnote w:id="11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Jones A.H.M. The decline of the ancient world. </w:t>
      </w:r>
      <w:r>
        <w:rPr>
          <w:sz w:val="24"/>
          <w:szCs w:val="24"/>
          <w:lang w:val="en-US"/>
        </w:rPr>
        <w:t>Oxford</w:t>
      </w:r>
      <w:r>
        <w:rPr>
          <w:sz w:val="24"/>
          <w:szCs w:val="24"/>
          <w:lang w:val="en-US"/>
        </w:rPr>
        <w:t>, 1966. p. 221.</w:t>
      </w:r>
    </w:p>
  </w:footnote>
  <w:footnote w:id="12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Lacombrade Chr. Le discours sur </w:t>
      </w:r>
      <w:r>
        <w:rPr>
          <w:sz w:val="24"/>
          <w:szCs w:val="24"/>
          <w:lang w:val="en-US"/>
        </w:rPr>
        <w:t>la Royauté</w:t>
      </w:r>
      <w:r>
        <w:rPr>
          <w:sz w:val="24"/>
          <w:szCs w:val="24"/>
          <w:lang w:val="en-US"/>
        </w:rPr>
        <w:t xml:space="preserve"> p.122. </w:t>
      </w:r>
    </w:p>
  </w:footnote>
  <w:footnote w:id="13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Lacombrade Chr. Le discours sur </w:t>
      </w:r>
      <w:r>
        <w:rPr>
          <w:sz w:val="24"/>
          <w:szCs w:val="24"/>
          <w:lang w:val="en-US"/>
        </w:rPr>
        <w:t>la Royauté.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>.122</w:t>
      </w:r>
    </w:p>
  </w:footnote>
  <w:footnote w:id="14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 Heather P.J. The anti- Scythian tirade of Synesius'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De Regno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 xml:space="preserve">// </w:t>
      </w:r>
      <w:r>
        <w:rPr>
          <w:sz w:val="24"/>
          <w:szCs w:val="24"/>
          <w:lang w:val="en-US"/>
        </w:rPr>
        <w:t>Phoenix</w:t>
      </w:r>
      <w:r>
        <w:rPr>
          <w:sz w:val="24"/>
          <w:szCs w:val="24"/>
          <w:lang w:val="en-US"/>
        </w:rPr>
        <w:t xml:space="preserve">, 42, </w:t>
      </w:r>
      <w:r>
        <w:rPr>
          <w:sz w:val="24"/>
          <w:szCs w:val="24"/>
          <w:lang w:val="en-US"/>
        </w:rPr>
        <w:t>fasc.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2,1988, pp. 152-172. Р.159  </w:t>
      </w:r>
    </w:p>
  </w:footnote>
  <w:footnote w:id="15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Глушанин Е.П. О некоторых причинах появления антиварварских настроений в общественно-политической мысли Византии кон.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- нач.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вв.// АДСВ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Свердловск</w:t>
      </w:r>
      <w:r>
        <w:rPr>
          <w:sz w:val="24"/>
          <w:szCs w:val="24"/>
          <w:lang w:val="en-US"/>
        </w:rPr>
        <w:t>, 1987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. 14-25.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.21  </w:t>
      </w:r>
    </w:p>
  </w:footnote>
  <w:footnote w:id="16"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 Shaw B.D. Eaters of flesh, drinkers of milk the ancient Mediterranean ideology of pastoral nomad //  Ancient society, 1982- 1983, № 13-14, p.5-31;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 xml:space="preserve">. 13. </w:t>
      </w:r>
    </w:p>
  </w:footnote>
  <w:footnote w:id="17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Филисторгий, рассказывая о Трибигильде, говорит, что тот был «родом скиф, из племени скифов, называемых ныне готами» (Phil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st.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, 8)</w:t>
      </w:r>
    </w:p>
  </w:footnote>
  <w:footnote w:id="18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Буданова В.П. Готы в системе представлений римских и византийских авторов о варварских народах // ВВ, т.41, 1980 г.,с.141-152;  С.149-150</w:t>
      </w:r>
    </w:p>
  </w:footnote>
  <w:footnote w:id="19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Вольфрам Х. Готы (От истоков до середины VI века (опыт исторической этнографии) / Пер. с нем. Б.П. Миловидова и М.Ю. Некрасова. СПб, 2003. С. 25.</w:t>
      </w:r>
    </w:p>
  </w:footnote>
  <w:footnote w:id="20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 Левченко М.В.  Синезий в Константинополе. С.234.</w:t>
      </w:r>
    </w:p>
  </w:footnote>
  <w:footnote w:id="21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С. А. Тахтаджян доказывает, что утверждение Геродота о непобедимости скифов «ещё не означает идеализации скифов», а «проницательно указывает на трудность борьбы с кочевниками», однако «оно в очень лестной форме характеризует достижение скифов и, очевидно, могло служить предпосылкой для их идеализации». – Тахтаджян С.А.  Скифы Эфора: Источники идеализации.- Дисс. на соиск. уч. степ. канд.филол.наук.  СПб, 2001. С. 190-191  </w:t>
      </w:r>
    </w:p>
  </w:footnote>
  <w:footnote w:id="22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Мнения исследователей по поводу того, следовал ли Синезий в своей речи идеям, высказанным Фемистием, разделились: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Е. Демужо считает, что Синезий почти полностью опирался на идеи Фемистия. –</w:t>
      </w:r>
      <w:r>
        <w:rPr>
          <w:sz w:val="24"/>
          <w:szCs w:val="24"/>
          <w:lang w:val="en-US"/>
        </w:rPr>
        <w:t>Demougeot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` </w:t>
      </w:r>
      <w:r>
        <w:rPr>
          <w:sz w:val="24"/>
          <w:szCs w:val="24"/>
          <w:lang w:val="en-US"/>
        </w:rPr>
        <w:t>unite</w:t>
      </w:r>
      <w:r>
        <w:rPr>
          <w:sz w:val="24"/>
          <w:szCs w:val="24"/>
        </w:rPr>
        <w:t xml:space="preserve"> à  </w:t>
      </w:r>
      <w:r>
        <w:rPr>
          <w:sz w:val="24"/>
          <w:szCs w:val="24"/>
          <w:lang w:val="en-US"/>
        </w:rPr>
        <w:t>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division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` </w:t>
      </w:r>
      <w:r>
        <w:rPr>
          <w:sz w:val="24"/>
          <w:szCs w:val="24"/>
          <w:lang w:val="en-US"/>
        </w:rPr>
        <w:t>Empire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romaine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Paris</w:t>
      </w:r>
      <w:r>
        <w:rPr>
          <w:sz w:val="24"/>
          <w:szCs w:val="24"/>
        </w:rPr>
        <w:t>, 1951. Р. 236-244</w:t>
      </w:r>
    </w:p>
    <w:p>
      <w:pPr>
        <w:pStyle w:val="style29"/>
        <w:spacing w:lineRule="auto" w:line="36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2.</w:t>
      </w:r>
      <w:r>
        <w:rPr>
          <w:sz w:val="24"/>
          <w:szCs w:val="24"/>
        </w:rPr>
        <w:t xml:space="preserve"> В. Бейлез полагает, что  представления Синезия во многом базируются на произведениях Диона из Пруссы.- </w:t>
      </w:r>
      <w:r>
        <w:rPr>
          <w:sz w:val="24"/>
          <w:szCs w:val="24"/>
          <w:lang w:val="en-US"/>
        </w:rPr>
        <w:t xml:space="preserve">Bayless W.N. Anti-Germanism in the Age of Stilicho // Byzantine Studies, vol.3, pars 2, 1976. p.70-77; 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 xml:space="preserve">.72.   </w:t>
      </w:r>
    </w:p>
  </w:footnote>
  <w:footnote w:id="23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Хотя уже Аристотель с некоторым неодобрением относился к кочевому образу жизни: «Наиболее ленивые из них (из людей- О.П.) ведут образ жизни кочевников, которые питаются, не прилагая ни труда, ни заботы, мясом домашних животных …» (Arist. </w:t>
      </w:r>
      <w:r>
        <w:rPr>
          <w:sz w:val="24"/>
          <w:szCs w:val="24"/>
          <w:lang w:val="en-US"/>
        </w:rPr>
        <w:t>Polit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3, 4) С.А. Тахтаджян замечает, что Аристотель «отнюдь не восхищается таким образом жизни»- Тахтаджян С.А. Скифы Эфора. С.94.</w:t>
      </w:r>
    </w:p>
  </w:footnote>
  <w:footnote w:id="24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 Марру А.-И. История воспитания в античности. М., 1998. С.30-31.</w:t>
      </w:r>
    </w:p>
  </w:footnote>
  <w:footnote w:id="25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 Greek-English Lexicon / com.by H.G.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Liddell, R.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Scott. </w:t>
      </w:r>
      <w:r>
        <w:rPr>
          <w:sz w:val="24"/>
          <w:szCs w:val="24"/>
          <w:lang w:val="en-US"/>
        </w:rPr>
        <w:t>Oxford</w:t>
      </w:r>
      <w:r>
        <w:rPr>
          <w:sz w:val="24"/>
          <w:szCs w:val="24"/>
          <w:lang w:val="en-US"/>
        </w:rPr>
        <w:t xml:space="preserve">, 1985. p.238. </w:t>
      </w:r>
      <w:r>
        <w:rPr>
          <w:sz w:val="24"/>
          <w:szCs w:val="24"/>
        </w:rPr>
        <w:t>В цитируемом  отрывке речь идет о Перифете. Перевод «Илиады» на русский яз. В.В.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Вересаева. Гомер. «Илиада»/ пер. на рус. яз. В.В. Вересаев. М.-Л., 1949.</w:t>
      </w:r>
    </w:p>
  </w:footnote>
  <w:footnote w:id="26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 Йегер В. Пайдейя, т.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М.,2001. С.32.</w:t>
      </w:r>
    </w:p>
  </w:footnote>
  <w:footnote w:id="27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Курбатов Г.Л.  Ранневизантийские портреты. с.154.</w:t>
      </w:r>
    </w:p>
  </w:footnote>
  <w:footnote w:id="28">
    <w:p>
      <w:pPr>
        <w:pStyle w:val="style29"/>
        <w:spacing w:lineRule="auto" w:line="360"/>
        <w:jc w:val="both"/>
        <w:rPr>
          <w:sz w:val="24"/>
          <w:szCs w:val="24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Вольфрам Х. Готы. С. 197.</w:t>
      </w:r>
    </w:p>
  </w:footnote>
  <w:footnote w:id="29">
    <w:p>
      <w:pPr>
        <w:pStyle w:val="style29"/>
        <w:spacing w:lineRule="auto" w:line="360"/>
        <w:jc w:val="both"/>
        <w:rPr>
          <w:rStyle w:val="style38"/>
          <w:lang w:val="en-US"/>
        </w:rPr>
      </w:pPr>
      <w:r>
        <w:rPr>
          <w:rStyle w:val="style38"/>
          <w:sz w:val="24"/>
          <w:szCs w:val="24"/>
        </w:rPr>
        <w:footnoteRef/>
      </w:r>
      <w:r>
        <w:rPr>
          <w:sz w:val="24"/>
          <w:szCs w:val="24"/>
        </w:rPr>
        <w:t xml:space="preserve">  Глушанин Е.П. О некоторых  причинах.  С</w:t>
      </w:r>
      <w:r>
        <w:rPr>
          <w:sz w:val="24"/>
          <w:szCs w:val="24"/>
          <w:lang w:val="en-US"/>
        </w:rPr>
        <w:t>. 20</w:t>
      </w:r>
      <w:r>
        <w:rPr>
          <w:rStyle w:val="style38"/>
          <w:sz w:val="24"/>
          <w:szCs w:val="24"/>
          <w:lang w:val="en-US"/>
        </w:rPr>
        <w:t xml:space="preserve"> </w:t>
      </w:r>
    </w:p>
  </w:footnote>
  <w:footnote w:id="30">
    <w:p>
      <w:pPr>
        <w:pStyle w:val="style0"/>
        <w:tabs>
          <w:tab w:val="left" w:leader="none" w:pos="0"/>
          <w:tab w:val="left" w:leader="none" w:pos="360"/>
        </w:tabs>
        <w:spacing w:before="240" w:lineRule="auto" w:line="360"/>
        <w:jc w:val="both"/>
        <w:rPr>
          <w:sz w:val="28"/>
          <w:szCs w:val="28"/>
        </w:rPr>
      </w:pPr>
      <w:r>
        <w:rPr>
          <w:rStyle w:val="style38"/>
        </w:rPr>
        <w:footnoteRef/>
      </w:r>
      <w:r>
        <w:rPr>
          <w:lang w:val="en-US"/>
        </w:rPr>
        <w:t xml:space="preserve">  Rèmondon R. La crise de l` Empire romain</w:t>
      </w:r>
      <w:r>
        <w:rPr>
          <w:lang w:val="en-GB"/>
        </w:rPr>
        <w:t xml:space="preserve"> </w:t>
      </w:r>
      <w:r>
        <w:rPr>
          <w:lang w:val="en-US"/>
        </w:rPr>
        <w:t xml:space="preserve">de Marc-Aurele à Anastase.  </w:t>
      </w:r>
      <w:r>
        <w:rPr>
          <w:lang w:val="en-US"/>
        </w:rPr>
        <w:t>Paris</w:t>
      </w:r>
      <w:r>
        <w:t xml:space="preserve">, 1964. </w:t>
      </w:r>
      <w:r>
        <w:t>Р</w:t>
      </w:r>
      <w:r>
        <w:t>. 212.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t>2</w:t>
    </w:r>
    <w:r>
      <w:rPr/>
      <w:fldChar w:fldCharType="end"/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9">
    <w:name w:val="footnote text"/>
    <w:basedOn w:val="style0"/>
    <w:next w:val="style29"/>
    <w:link w:val="style4097"/>
    <w:pPr/>
    <w:rPr>
      <w:sz w:val="20"/>
      <w:szCs w:val="20"/>
    </w:rPr>
  </w:style>
  <w:style w:type="character" w:customStyle="1" w:styleId="style4097">
    <w:name w:val="Текст сноски Знак"/>
    <w:basedOn w:val="style65"/>
    <w:next w:val="style4097"/>
    <w:link w:val="style29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style38">
    <w:name w:val="footnote reference"/>
    <w:basedOn w:val="style65"/>
    <w:next w:val="style38"/>
    <w:rPr>
      <w:vertAlign w:val="superscript"/>
    </w:rPr>
  </w:style>
  <w:style w:type="paragraph" w:styleId="style80">
    <w:name w:val="Body Text 2"/>
    <w:basedOn w:val="style0"/>
    <w:next w:val="style80"/>
    <w:link w:val="style4098"/>
    <w:pPr>
      <w:spacing w:after="120" w:lineRule="auto" w:line="480"/>
    </w:pPr>
    <w:rPr>
      <w:lang w:val="el-GR" w:eastAsia="el-GR"/>
    </w:rPr>
  </w:style>
  <w:style w:type="character" w:customStyle="1" w:styleId="style4098">
    <w:name w:val="Основной текст 2 Знак"/>
    <w:basedOn w:val="style65"/>
    <w:next w:val="style4098"/>
    <w:link w:val="style80"/>
    <w:rPr>
      <w:rFonts w:ascii="Times New Roman" w:cs="Times New Roman" w:eastAsia="Times New Roman" w:hAnsi="Times New Roman"/>
      <w:sz w:val="24"/>
      <w:szCs w:val="24"/>
      <w:lang w:val="el-GR" w:eastAsia="el-GR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footnotes" Target="footnotes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D4F7-86E0-4182-9898-346DECAB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4061</Words>
  <Pages>16</Pages>
  <Characters>25368</Characters>
  <Application>WPS Office</Application>
  <DocSecurity>0</DocSecurity>
  <Paragraphs>82</Paragraphs>
  <ScaleCrop>false</ScaleCrop>
  <LinksUpToDate>false</LinksUpToDate>
  <CharactersWithSpaces>29623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2023-10-25T16:56:00Z</dcterms:created>
  <dc:creator>Ольга</dc:creator>
  <lastModifiedBy>Redmi Note 8 Pro</lastModifiedBy>
  <dcterms:modified xsi:type="dcterms:W3CDTF">2023-10-26T07:59:59Z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669ab181d6784df484ecc1641c7916e8</vt:lpwstr>
  </property>
</Properties>
</file>